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16C3" w:rsidRDefault="001216C3" w:rsidP="009C3837">
      <w:pPr>
        <w:spacing w:after="0" w:line="480" w:lineRule="auto"/>
        <w:jc w:val="center"/>
        <w:rPr>
          <w:rFonts w:ascii="Times New Roman" w:hAnsi="Times New Roman" w:cs="Times New Roman"/>
          <w:sz w:val="24"/>
          <w:szCs w:val="24"/>
        </w:rPr>
      </w:pPr>
    </w:p>
    <w:p w:rsidR="000112E8" w:rsidRDefault="000112E8" w:rsidP="009C3837">
      <w:pPr>
        <w:spacing w:after="0" w:line="480" w:lineRule="auto"/>
        <w:jc w:val="center"/>
        <w:rPr>
          <w:rFonts w:ascii="Times New Roman" w:hAnsi="Times New Roman" w:cs="Times New Roman"/>
          <w:sz w:val="24"/>
          <w:szCs w:val="24"/>
        </w:rPr>
      </w:pPr>
    </w:p>
    <w:p w:rsidR="000112E8" w:rsidRDefault="000112E8" w:rsidP="009C3837">
      <w:pPr>
        <w:spacing w:after="0" w:line="480" w:lineRule="auto"/>
        <w:jc w:val="center"/>
        <w:rPr>
          <w:rFonts w:ascii="Times New Roman" w:hAnsi="Times New Roman" w:cs="Times New Roman"/>
          <w:sz w:val="24"/>
          <w:szCs w:val="24"/>
        </w:rPr>
      </w:pPr>
    </w:p>
    <w:p w:rsidR="000112E8" w:rsidRDefault="000112E8" w:rsidP="009C3837">
      <w:pPr>
        <w:spacing w:after="0" w:line="480" w:lineRule="auto"/>
        <w:jc w:val="center"/>
        <w:rPr>
          <w:rFonts w:ascii="Times New Roman" w:hAnsi="Times New Roman" w:cs="Times New Roman"/>
          <w:sz w:val="24"/>
          <w:szCs w:val="24"/>
        </w:rPr>
      </w:pPr>
      <w:bookmarkStart w:id="0" w:name="_GoBack"/>
      <w:bookmarkEnd w:id="0"/>
    </w:p>
    <w:p w:rsidR="000112E8" w:rsidRDefault="00F05EEE" w:rsidP="009C3837">
      <w:pPr>
        <w:spacing w:after="0" w:line="480" w:lineRule="auto"/>
        <w:jc w:val="center"/>
        <w:rPr>
          <w:rFonts w:ascii="Times New Roman" w:hAnsi="Times New Roman" w:cs="Times New Roman"/>
          <w:sz w:val="24"/>
          <w:szCs w:val="24"/>
        </w:rPr>
      </w:pPr>
      <w:r w:rsidRPr="000112E8">
        <w:rPr>
          <w:rFonts w:ascii="Times New Roman" w:hAnsi="Times New Roman" w:cs="Times New Roman"/>
          <w:b/>
          <w:sz w:val="24"/>
          <w:szCs w:val="24"/>
        </w:rPr>
        <w:t>The Gilded Era</w:t>
      </w:r>
    </w:p>
    <w:p w:rsidR="000112E8" w:rsidRDefault="00F05EEE" w:rsidP="009C383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rsidR="000112E8" w:rsidRDefault="00F05EEE" w:rsidP="009C383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112E8" w:rsidRDefault="00F05EEE" w:rsidP="009C383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 and Number</w:t>
      </w:r>
    </w:p>
    <w:p w:rsidR="000112E8" w:rsidRDefault="00F05EEE" w:rsidP="009C383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0112E8" w:rsidRDefault="00F05EEE" w:rsidP="009C383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0112E8" w:rsidRDefault="000112E8" w:rsidP="009C3837">
      <w:pPr>
        <w:spacing w:after="0" w:line="480" w:lineRule="auto"/>
        <w:jc w:val="center"/>
        <w:rPr>
          <w:rFonts w:ascii="Times New Roman" w:hAnsi="Times New Roman" w:cs="Times New Roman"/>
          <w:sz w:val="24"/>
          <w:szCs w:val="24"/>
        </w:rPr>
      </w:pPr>
    </w:p>
    <w:p w:rsidR="000112E8" w:rsidRDefault="000112E8" w:rsidP="009C3837">
      <w:pPr>
        <w:spacing w:after="0" w:line="480" w:lineRule="auto"/>
        <w:jc w:val="center"/>
        <w:rPr>
          <w:rFonts w:ascii="Times New Roman" w:hAnsi="Times New Roman" w:cs="Times New Roman"/>
          <w:sz w:val="24"/>
          <w:szCs w:val="24"/>
        </w:rPr>
      </w:pPr>
    </w:p>
    <w:p w:rsidR="000112E8" w:rsidRDefault="000112E8" w:rsidP="009C3837">
      <w:pPr>
        <w:spacing w:after="0" w:line="480" w:lineRule="auto"/>
        <w:jc w:val="center"/>
        <w:rPr>
          <w:rFonts w:ascii="Times New Roman" w:hAnsi="Times New Roman" w:cs="Times New Roman"/>
          <w:sz w:val="24"/>
          <w:szCs w:val="24"/>
        </w:rPr>
      </w:pPr>
    </w:p>
    <w:p w:rsidR="000112E8" w:rsidRDefault="000112E8" w:rsidP="009C3837">
      <w:pPr>
        <w:spacing w:after="0" w:line="480" w:lineRule="auto"/>
        <w:jc w:val="center"/>
        <w:rPr>
          <w:rFonts w:ascii="Times New Roman" w:hAnsi="Times New Roman" w:cs="Times New Roman"/>
          <w:sz w:val="24"/>
          <w:szCs w:val="24"/>
        </w:rPr>
      </w:pPr>
    </w:p>
    <w:p w:rsidR="000112E8" w:rsidRDefault="000112E8" w:rsidP="009C3837">
      <w:pPr>
        <w:spacing w:after="0" w:line="480" w:lineRule="auto"/>
        <w:jc w:val="center"/>
        <w:rPr>
          <w:rFonts w:ascii="Times New Roman" w:hAnsi="Times New Roman" w:cs="Times New Roman"/>
          <w:sz w:val="24"/>
          <w:szCs w:val="24"/>
        </w:rPr>
      </w:pPr>
    </w:p>
    <w:p w:rsidR="000112E8" w:rsidRDefault="000112E8" w:rsidP="009C3837">
      <w:pPr>
        <w:spacing w:after="0" w:line="480" w:lineRule="auto"/>
        <w:jc w:val="center"/>
        <w:rPr>
          <w:rFonts w:ascii="Times New Roman" w:hAnsi="Times New Roman" w:cs="Times New Roman"/>
          <w:sz w:val="24"/>
          <w:szCs w:val="24"/>
        </w:rPr>
      </w:pPr>
    </w:p>
    <w:p w:rsidR="000112E8" w:rsidRDefault="000112E8" w:rsidP="009C3837">
      <w:pPr>
        <w:spacing w:after="0" w:line="480" w:lineRule="auto"/>
        <w:jc w:val="center"/>
        <w:rPr>
          <w:rFonts w:ascii="Times New Roman" w:hAnsi="Times New Roman" w:cs="Times New Roman"/>
          <w:sz w:val="24"/>
          <w:szCs w:val="24"/>
        </w:rPr>
      </w:pPr>
    </w:p>
    <w:p w:rsidR="000112E8" w:rsidRDefault="000112E8" w:rsidP="009C3837">
      <w:pPr>
        <w:spacing w:after="0" w:line="480" w:lineRule="auto"/>
        <w:jc w:val="center"/>
        <w:rPr>
          <w:rFonts w:ascii="Times New Roman" w:hAnsi="Times New Roman" w:cs="Times New Roman"/>
          <w:sz w:val="24"/>
          <w:szCs w:val="24"/>
        </w:rPr>
      </w:pPr>
    </w:p>
    <w:p w:rsidR="000112E8" w:rsidRDefault="000112E8" w:rsidP="009C3837">
      <w:pPr>
        <w:spacing w:after="0" w:line="480" w:lineRule="auto"/>
        <w:jc w:val="center"/>
        <w:rPr>
          <w:rFonts w:ascii="Times New Roman" w:hAnsi="Times New Roman" w:cs="Times New Roman"/>
          <w:sz w:val="24"/>
          <w:szCs w:val="24"/>
        </w:rPr>
      </w:pPr>
    </w:p>
    <w:p w:rsidR="000112E8" w:rsidRDefault="000112E8" w:rsidP="009C3837">
      <w:pPr>
        <w:spacing w:after="0" w:line="480" w:lineRule="auto"/>
        <w:jc w:val="center"/>
        <w:rPr>
          <w:rFonts w:ascii="Times New Roman" w:hAnsi="Times New Roman" w:cs="Times New Roman"/>
          <w:sz w:val="24"/>
          <w:szCs w:val="24"/>
        </w:rPr>
      </w:pPr>
    </w:p>
    <w:p w:rsidR="000112E8" w:rsidRDefault="000112E8" w:rsidP="009C3837">
      <w:pPr>
        <w:spacing w:after="0" w:line="480" w:lineRule="auto"/>
        <w:jc w:val="center"/>
        <w:rPr>
          <w:rFonts w:ascii="Times New Roman" w:hAnsi="Times New Roman" w:cs="Times New Roman"/>
          <w:sz w:val="24"/>
          <w:szCs w:val="24"/>
        </w:rPr>
      </w:pPr>
    </w:p>
    <w:p w:rsidR="000112E8" w:rsidRDefault="000112E8" w:rsidP="009C3837">
      <w:pPr>
        <w:spacing w:after="0" w:line="480" w:lineRule="auto"/>
        <w:jc w:val="center"/>
        <w:rPr>
          <w:rFonts w:ascii="Times New Roman" w:hAnsi="Times New Roman" w:cs="Times New Roman"/>
          <w:sz w:val="24"/>
          <w:szCs w:val="24"/>
        </w:rPr>
      </w:pPr>
    </w:p>
    <w:p w:rsidR="00FF73A8" w:rsidRDefault="00FF73A8" w:rsidP="009C3837">
      <w:pPr>
        <w:spacing w:after="0" w:line="480" w:lineRule="auto"/>
        <w:rPr>
          <w:rFonts w:ascii="Times New Roman" w:hAnsi="Times New Roman" w:cs="Times New Roman"/>
          <w:b/>
          <w:sz w:val="24"/>
          <w:szCs w:val="24"/>
        </w:rPr>
      </w:pPr>
      <w:r>
        <w:rPr>
          <w:rFonts w:ascii="Times New Roman" w:hAnsi="Times New Roman" w:cs="Times New Roman"/>
          <w:b/>
          <w:sz w:val="24"/>
          <w:szCs w:val="24"/>
        </w:rPr>
        <w:br w:type="page"/>
      </w:r>
    </w:p>
    <w:p w:rsidR="000112E8" w:rsidRPr="000112E8" w:rsidRDefault="00F05EEE" w:rsidP="009C3837">
      <w:pPr>
        <w:spacing w:after="0" w:line="480" w:lineRule="auto"/>
        <w:jc w:val="center"/>
        <w:rPr>
          <w:rFonts w:ascii="Times New Roman" w:hAnsi="Times New Roman" w:cs="Times New Roman"/>
          <w:b/>
          <w:sz w:val="24"/>
          <w:szCs w:val="24"/>
        </w:rPr>
      </w:pPr>
      <w:r w:rsidRPr="000112E8">
        <w:rPr>
          <w:rFonts w:ascii="Times New Roman" w:hAnsi="Times New Roman" w:cs="Times New Roman"/>
          <w:b/>
          <w:sz w:val="24"/>
          <w:szCs w:val="24"/>
        </w:rPr>
        <w:lastRenderedPageBreak/>
        <w:t>The Gilded Era</w:t>
      </w:r>
    </w:p>
    <w:p w:rsidR="000112E8" w:rsidRDefault="00F05EEE" w:rsidP="009C383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87C60" w:rsidRPr="00587C60">
        <w:rPr>
          <w:rFonts w:ascii="Times New Roman" w:hAnsi="Times New Roman" w:cs="Times New Roman"/>
          <w:sz w:val="24"/>
          <w:szCs w:val="24"/>
        </w:rPr>
        <w:t>The Gilded Era was the turning point in America’s industrial and technological advancement; thus, the genesis of its economic growth is seen to date. Nevertheless, it had some sinister sides, including corruption from industrialists, greed, and enjoying wealth by then politicians and bankers than the working class. During this period, the majority of the political seats were held by tycoons than politicians.  Consequently, the gilded era contributed significantly to economic advancement, especially in business sectors and industrialization.  Besides, it marked the beginning of the social and political change in America seen to date. While the gilded era triggered the industrial revolution and capitalism in the United Stated between 1879-1900, its impact is still experienced in the country in many sectors upto date.</w:t>
      </w:r>
    </w:p>
    <w:p w:rsidR="00587C60" w:rsidRDefault="00F05EEE" w:rsidP="009C383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B393F" w:rsidRPr="005B393F">
        <w:rPr>
          <w:rFonts w:ascii="Times New Roman" w:hAnsi="Times New Roman" w:cs="Times New Roman"/>
          <w:sz w:val="24"/>
          <w:szCs w:val="24"/>
        </w:rPr>
        <w:t xml:space="preserve">After the Civil War, the gilded era marked the greatest economic transformation in American history. The country’s main production was cotton which transfigured to industrialization with a more integrated market (Blanchard, 2018).  During this period, business opportunities commenced rapidly in the United States, subject to the expansion of corporations.  According to Blanchard (2018), these corporations strengthened the expansion of industrial production with tycoons in the business sectors such as John Rockefeller and Andrew Carnegie having a great impact on American citizens by then. Typically, eastern financers groups played a key role in the reorientation of the United States capitalism towards industrialization and economic growth in western countries, as stated by Noam Maggor (Blanchard, 2018). Large corporations also played a vital role in the economic transformation of America. Besides, it marked the beginning of equality among the citizens, with everyone having liberty. Notably, the industrial revolution was mainly geared by captains of the industries, hence their effort to transforming the economy if employed to date by most entrepreneurs and billionaires. However, </w:t>
      </w:r>
      <w:r w:rsidR="005B393F" w:rsidRPr="005B393F">
        <w:rPr>
          <w:rFonts w:ascii="Times New Roman" w:hAnsi="Times New Roman" w:cs="Times New Roman"/>
          <w:sz w:val="24"/>
          <w:szCs w:val="24"/>
        </w:rPr>
        <w:lastRenderedPageBreak/>
        <w:t xml:space="preserve">despite providing capital resources and classical economic doctrines, most business individuals were corrupt and selfish.   </w:t>
      </w:r>
      <w:r w:rsidR="005B393F">
        <w:rPr>
          <w:rFonts w:ascii="Times New Roman" w:hAnsi="Times New Roman" w:cs="Times New Roman"/>
          <w:sz w:val="24"/>
          <w:szCs w:val="24"/>
        </w:rPr>
        <w:t xml:space="preserve"> </w:t>
      </w:r>
    </w:p>
    <w:p w:rsidR="00907582" w:rsidRDefault="00F05EEE" w:rsidP="009C3837">
      <w:pPr>
        <w:spacing w:after="0" w:line="480" w:lineRule="auto"/>
        <w:rPr>
          <w:rFonts w:ascii="Times New Roman" w:hAnsi="Times New Roman" w:cs="Times New Roman"/>
          <w:sz w:val="24"/>
          <w:szCs w:val="24"/>
        </w:rPr>
      </w:pPr>
      <w:r w:rsidRPr="00CD76CD">
        <w:rPr>
          <w:rFonts w:ascii="Times New Roman" w:hAnsi="Times New Roman" w:cs="Times New Roman"/>
          <w:sz w:val="24"/>
          <w:szCs w:val="24"/>
        </w:rPr>
        <w:t xml:space="preserve">           Besides the economic growth, the gilded era led to social and political changes in the United States. During this period, the wages for skilled employees increased by 60% within three decades (1860-1890), inviting many European immigrants</w:t>
      </w:r>
      <w:r w:rsidRPr="00CD76CD">
        <w:t xml:space="preserve"> </w:t>
      </w:r>
      <w:r w:rsidRPr="00CD76CD">
        <w:rPr>
          <w:rFonts w:ascii="Times New Roman" w:hAnsi="Times New Roman" w:cs="Times New Roman"/>
          <w:sz w:val="24"/>
          <w:szCs w:val="24"/>
        </w:rPr>
        <w:t>(Shulman, 2020). Consequently, the labor force increased significantly as the annual wage for any industrial worker rose from $380 to $564, a 48% gain</w:t>
      </w:r>
      <w:r w:rsidRPr="00CD76CD">
        <w:t xml:space="preserve"> </w:t>
      </w:r>
      <w:r w:rsidRPr="00CD76CD">
        <w:rPr>
          <w:rFonts w:ascii="Times New Roman" w:hAnsi="Times New Roman" w:cs="Times New Roman"/>
          <w:sz w:val="24"/>
          <w:szCs w:val="24"/>
        </w:rPr>
        <w:t>(Shulman, 2020).  Despite increasing the number of immigrants, the gilded age was also an era that registered a high level of poverty and inequality, more so from the European immigrants.  Ideally, major industrial growth resulted from European and eastern state immigrants who provided labor and were farmers, miners, and cattle ranching</w:t>
      </w:r>
      <w:r w:rsidRPr="00CD76CD">
        <w:t xml:space="preserve"> </w:t>
      </w:r>
      <w:r w:rsidRPr="00CD76CD">
        <w:rPr>
          <w:rFonts w:ascii="Times New Roman" w:hAnsi="Times New Roman" w:cs="Times New Roman"/>
          <w:sz w:val="24"/>
          <w:szCs w:val="24"/>
        </w:rPr>
        <w:t>(Shulman, 2020).  Secondly, the political landscape improved significantly despite the increasing level of corruption. Voters’ turnout was high, especially during national elections. Notably, cultural and economic issues were the primary dominant of politics</w:t>
      </w:r>
      <w:r w:rsidRPr="00CD76CD">
        <w:t xml:space="preserve"> </w:t>
      </w:r>
      <w:r w:rsidRPr="00CD76CD">
        <w:rPr>
          <w:rFonts w:ascii="Times New Roman" w:hAnsi="Times New Roman" w:cs="Times New Roman"/>
          <w:sz w:val="24"/>
          <w:szCs w:val="24"/>
        </w:rPr>
        <w:t>(Shulman, 2020). However, due to urbanization, political machines took over urban politics. Many reforms in the labor force were registered. For example, child labor was abolished, and the labor union recommended eight working hours. Besides, religious growth was observed, with Catholics having the largest number and expanding globally through missionary work. The missionary work led to the growth of schools, hospitals</w:t>
      </w:r>
      <w:r w:rsidR="00A7657C">
        <w:rPr>
          <w:rFonts w:ascii="Times New Roman" w:hAnsi="Times New Roman" w:cs="Times New Roman"/>
          <w:sz w:val="24"/>
          <w:szCs w:val="24"/>
        </w:rPr>
        <w:t>,</w:t>
      </w:r>
      <w:r w:rsidRPr="00CD76CD">
        <w:rPr>
          <w:rFonts w:ascii="Times New Roman" w:hAnsi="Times New Roman" w:cs="Times New Roman"/>
          <w:sz w:val="24"/>
          <w:szCs w:val="24"/>
        </w:rPr>
        <w:t xml:space="preserve"> and charity work, which improved the living standard of the beneficiaries</w:t>
      </w:r>
      <w:r w:rsidRPr="00CD76CD">
        <w:t xml:space="preserve"> </w:t>
      </w:r>
      <w:r w:rsidRPr="00CD76CD">
        <w:rPr>
          <w:rFonts w:ascii="Times New Roman" w:hAnsi="Times New Roman" w:cs="Times New Roman"/>
          <w:sz w:val="24"/>
          <w:szCs w:val="24"/>
        </w:rPr>
        <w:t>(Shulman, 2020).  Therefore, the gilded era transformed the political system in the United States, increased immigrants, which led to a high labor force transforming the economy through industrialization. Nevertheless, employees experienced discrimination due to racism which is the major disease consuming America to date.</w:t>
      </w:r>
    </w:p>
    <w:p w:rsidR="001628F3" w:rsidRDefault="00F05EEE" w:rsidP="009C3837">
      <w:pPr>
        <w:spacing w:after="0" w:line="480" w:lineRule="auto"/>
        <w:rPr>
          <w:rFonts w:ascii="Times New Roman" w:hAnsi="Times New Roman" w:cs="Times New Roman"/>
          <w:sz w:val="24"/>
          <w:szCs w:val="24"/>
        </w:rPr>
      </w:pPr>
      <w:r w:rsidRPr="008E53BC">
        <w:rPr>
          <w:rFonts w:ascii="Times New Roman" w:hAnsi="Times New Roman" w:cs="Times New Roman"/>
          <w:sz w:val="24"/>
          <w:szCs w:val="24"/>
        </w:rPr>
        <w:lastRenderedPageBreak/>
        <w:t xml:space="preserve">           Currently, the United States is experiencing the second phase of the gilded era, sharing few elements with the first error with a major, profound difference in historical moments. The first and second gilded ages are intertwined. According to Greene (2020), people believe that the Americans have been facing the second gilded era based on parallel elements since 1990 and the early twenty centuries. Some of these elements include a high level of inequality, discrimination in the labor force with limited rights, and anti-immigrant sentiments. However, this comparison is misleading as the first era marks a significant transformation of capitalism. For instance, human rights were protected slowly, with both genders fighting for limited power in the </w:t>
      </w:r>
      <w:r w:rsidR="006F5106">
        <w:rPr>
          <w:rFonts w:ascii="Times New Roman" w:hAnsi="Times New Roman" w:cs="Times New Roman"/>
          <w:sz w:val="24"/>
          <w:szCs w:val="24"/>
        </w:rPr>
        <w:t>capital (Greene, 2020).  Thus</w:t>
      </w:r>
      <w:r w:rsidRPr="008E53BC">
        <w:rPr>
          <w:rFonts w:ascii="Times New Roman" w:hAnsi="Times New Roman" w:cs="Times New Roman"/>
          <w:sz w:val="24"/>
          <w:szCs w:val="24"/>
        </w:rPr>
        <w:t>, the ascent towards expansion and protection had critical challenges alongside c</w:t>
      </w:r>
      <w:r w:rsidR="006F5106">
        <w:rPr>
          <w:rFonts w:ascii="Times New Roman" w:hAnsi="Times New Roman" w:cs="Times New Roman"/>
          <w:sz w:val="24"/>
          <w:szCs w:val="24"/>
        </w:rPr>
        <w:t>ontradiction and tensions, were primary determinant of</w:t>
      </w:r>
      <w:r w:rsidRPr="008E53BC">
        <w:rPr>
          <w:rFonts w:ascii="Times New Roman" w:hAnsi="Times New Roman" w:cs="Times New Roman"/>
          <w:sz w:val="24"/>
          <w:szCs w:val="24"/>
        </w:rPr>
        <w:t xml:space="preserve"> capital</w:t>
      </w:r>
      <w:r w:rsidR="006F5106">
        <w:rPr>
          <w:rFonts w:ascii="Times New Roman" w:hAnsi="Times New Roman" w:cs="Times New Roman"/>
          <w:sz w:val="24"/>
          <w:szCs w:val="24"/>
        </w:rPr>
        <w:t>ism</w:t>
      </w:r>
      <w:r w:rsidRPr="008E53BC">
        <w:rPr>
          <w:rFonts w:ascii="Times New Roman" w:hAnsi="Times New Roman" w:cs="Times New Roman"/>
          <w:sz w:val="24"/>
          <w:szCs w:val="24"/>
        </w:rPr>
        <w:t>.</w:t>
      </w:r>
    </w:p>
    <w:p w:rsidR="001628F3" w:rsidRDefault="00F05EEE" w:rsidP="009C3837">
      <w:pPr>
        <w:spacing w:after="0" w:line="480" w:lineRule="auto"/>
        <w:ind w:firstLine="720"/>
        <w:rPr>
          <w:rFonts w:ascii="Times New Roman" w:hAnsi="Times New Roman" w:cs="Times New Roman"/>
          <w:sz w:val="24"/>
          <w:szCs w:val="24"/>
        </w:rPr>
      </w:pPr>
      <w:r w:rsidRPr="008E53BC">
        <w:rPr>
          <w:rFonts w:ascii="Times New Roman" w:hAnsi="Times New Roman" w:cs="Times New Roman"/>
          <w:sz w:val="24"/>
          <w:szCs w:val="24"/>
        </w:rPr>
        <w:t>Nevertheless, by expanding better strategies and tactics in the labor unions, social, anarchist organizations, anti-colonial revolution, communis</w:t>
      </w:r>
      <w:r>
        <w:rPr>
          <w:rFonts w:ascii="Times New Roman" w:hAnsi="Times New Roman" w:cs="Times New Roman"/>
          <w:sz w:val="24"/>
          <w:szCs w:val="24"/>
        </w:rPr>
        <w:t>m liberalization, which improved</w:t>
      </w:r>
      <w:r w:rsidRPr="008E53BC">
        <w:rPr>
          <w:rFonts w:ascii="Times New Roman" w:hAnsi="Times New Roman" w:cs="Times New Roman"/>
          <w:sz w:val="24"/>
          <w:szCs w:val="24"/>
        </w:rPr>
        <w:t xml:space="preserve"> the welfare stated, and capitalism power marked part of the mid-twentieth century. Today, there has been an increase in neoliberal order in the United States, signified by privatization, austerity, and increasing attacks on labor rights (Greene, 2020, p.1). In the second gilded age, women had a financial stand and could afford to meet their expenses.  Specifically, the increased stigmatization faced with women of low socioeconomic status and technological revolution in the United States is key other indicators of the second gilded era.  Conversely, in the first gilded era, despite signifying the economic and industrial transition of the United States, poverty and corruption were the order of the day resulting in a high level of socioeconomic and cultural disparity. Therefore, the distinctive element between the two phases is changing appearance through materialism between gender and socioeconomic status to retain good economic status.</w:t>
      </w:r>
    </w:p>
    <w:p w:rsidR="00D22477" w:rsidRDefault="00F05EEE" w:rsidP="009C3837">
      <w:pPr>
        <w:spacing w:after="0" w:line="480" w:lineRule="auto"/>
        <w:rPr>
          <w:rFonts w:ascii="Times New Roman" w:hAnsi="Times New Roman" w:cs="Times New Roman"/>
          <w:sz w:val="24"/>
          <w:szCs w:val="24"/>
        </w:rPr>
      </w:pPr>
      <w:r w:rsidRPr="00D22477">
        <w:rPr>
          <w:rFonts w:ascii="Times New Roman" w:hAnsi="Times New Roman" w:cs="Times New Roman"/>
          <w:sz w:val="24"/>
          <w:szCs w:val="24"/>
        </w:rPr>
        <w:lastRenderedPageBreak/>
        <w:t xml:space="preserve">           In conclusion, the gilded era transformed the economy, social, and political system of the United States through the industrial and technological revolution. However, inequality, selfishness, and corruption are the main setback, especially among the immigrants who played a key role through the labor force to foresee economic growth. Despite the challenges mentioned above, few measures were implemented to promote fairness, such as reducing working hours to 8, increasing wages, and imposing policies to prevent child labor.  Besides, this period marked the political shift in the United States, with most citizens taking part in the democratic election of their preferred candidates during national elections. Finally, the country is experiencing the second stage of the gilded era, however with variation in historical periods. </w:t>
      </w:r>
    </w:p>
    <w:p w:rsidR="006C7F22" w:rsidRDefault="006C7F22" w:rsidP="009C3837">
      <w:pPr>
        <w:spacing w:after="0" w:line="480" w:lineRule="auto"/>
        <w:rPr>
          <w:rFonts w:ascii="Times New Roman" w:hAnsi="Times New Roman" w:cs="Times New Roman"/>
          <w:sz w:val="24"/>
          <w:szCs w:val="24"/>
        </w:rPr>
      </w:pPr>
    </w:p>
    <w:p w:rsidR="006C7F22" w:rsidRDefault="006C7F22" w:rsidP="009C3837">
      <w:pPr>
        <w:spacing w:after="0" w:line="480" w:lineRule="auto"/>
        <w:rPr>
          <w:rFonts w:ascii="Times New Roman" w:hAnsi="Times New Roman" w:cs="Times New Roman"/>
          <w:sz w:val="24"/>
          <w:szCs w:val="24"/>
        </w:rPr>
      </w:pPr>
    </w:p>
    <w:p w:rsidR="006C7F22" w:rsidRDefault="006C7F22" w:rsidP="009C3837">
      <w:pPr>
        <w:spacing w:after="0" w:line="480" w:lineRule="auto"/>
        <w:rPr>
          <w:rFonts w:ascii="Times New Roman" w:hAnsi="Times New Roman" w:cs="Times New Roman"/>
          <w:sz w:val="24"/>
          <w:szCs w:val="24"/>
        </w:rPr>
      </w:pPr>
    </w:p>
    <w:p w:rsidR="006C7F22" w:rsidRDefault="006C7F22" w:rsidP="009C3837">
      <w:pPr>
        <w:spacing w:after="0" w:line="480" w:lineRule="auto"/>
        <w:rPr>
          <w:rFonts w:ascii="Times New Roman" w:hAnsi="Times New Roman" w:cs="Times New Roman"/>
          <w:sz w:val="24"/>
          <w:szCs w:val="24"/>
        </w:rPr>
      </w:pPr>
    </w:p>
    <w:p w:rsidR="006C7F22" w:rsidRDefault="006C7F22" w:rsidP="009C3837">
      <w:pPr>
        <w:spacing w:after="0" w:line="480" w:lineRule="auto"/>
        <w:rPr>
          <w:rFonts w:ascii="Times New Roman" w:hAnsi="Times New Roman" w:cs="Times New Roman"/>
          <w:sz w:val="24"/>
          <w:szCs w:val="24"/>
        </w:rPr>
      </w:pPr>
    </w:p>
    <w:p w:rsidR="006C7F22" w:rsidRDefault="006C7F22" w:rsidP="009C3837">
      <w:pPr>
        <w:spacing w:after="0" w:line="480" w:lineRule="auto"/>
        <w:rPr>
          <w:rFonts w:ascii="Times New Roman" w:hAnsi="Times New Roman" w:cs="Times New Roman"/>
          <w:sz w:val="24"/>
          <w:szCs w:val="24"/>
        </w:rPr>
      </w:pPr>
    </w:p>
    <w:p w:rsidR="006C7F22" w:rsidRDefault="006C7F22" w:rsidP="009C3837">
      <w:pPr>
        <w:spacing w:after="0" w:line="480" w:lineRule="auto"/>
        <w:rPr>
          <w:rFonts w:ascii="Times New Roman" w:hAnsi="Times New Roman" w:cs="Times New Roman"/>
          <w:sz w:val="24"/>
          <w:szCs w:val="24"/>
        </w:rPr>
      </w:pPr>
    </w:p>
    <w:p w:rsidR="006C7F22" w:rsidRDefault="006C7F22" w:rsidP="009C3837">
      <w:pPr>
        <w:spacing w:after="0" w:line="480" w:lineRule="auto"/>
        <w:rPr>
          <w:rFonts w:ascii="Times New Roman" w:hAnsi="Times New Roman" w:cs="Times New Roman"/>
          <w:sz w:val="24"/>
          <w:szCs w:val="24"/>
        </w:rPr>
      </w:pPr>
    </w:p>
    <w:p w:rsidR="006C7F22" w:rsidRDefault="006C7F22" w:rsidP="009C3837">
      <w:pPr>
        <w:spacing w:after="0" w:line="480" w:lineRule="auto"/>
        <w:rPr>
          <w:rFonts w:ascii="Times New Roman" w:hAnsi="Times New Roman" w:cs="Times New Roman"/>
          <w:sz w:val="24"/>
          <w:szCs w:val="24"/>
        </w:rPr>
      </w:pPr>
    </w:p>
    <w:p w:rsidR="006C7F22" w:rsidRDefault="006C7F22" w:rsidP="009C3837">
      <w:pPr>
        <w:spacing w:after="0" w:line="480" w:lineRule="auto"/>
        <w:rPr>
          <w:rFonts w:ascii="Times New Roman" w:hAnsi="Times New Roman" w:cs="Times New Roman"/>
          <w:sz w:val="24"/>
          <w:szCs w:val="24"/>
        </w:rPr>
      </w:pPr>
    </w:p>
    <w:p w:rsidR="006C7F22" w:rsidRDefault="006C7F22" w:rsidP="009C3837">
      <w:pPr>
        <w:spacing w:after="0" w:line="480" w:lineRule="auto"/>
        <w:rPr>
          <w:rFonts w:ascii="Times New Roman" w:hAnsi="Times New Roman" w:cs="Times New Roman"/>
          <w:sz w:val="24"/>
          <w:szCs w:val="24"/>
        </w:rPr>
      </w:pPr>
    </w:p>
    <w:p w:rsidR="006C7F22" w:rsidRDefault="006C7F22" w:rsidP="009C3837">
      <w:pPr>
        <w:spacing w:after="0" w:line="480" w:lineRule="auto"/>
        <w:rPr>
          <w:rFonts w:ascii="Times New Roman" w:hAnsi="Times New Roman" w:cs="Times New Roman"/>
          <w:sz w:val="24"/>
          <w:szCs w:val="24"/>
        </w:rPr>
      </w:pPr>
    </w:p>
    <w:p w:rsidR="006C7F22" w:rsidRDefault="006C7F22" w:rsidP="009C3837">
      <w:pPr>
        <w:spacing w:after="0" w:line="480" w:lineRule="auto"/>
        <w:rPr>
          <w:rFonts w:ascii="Times New Roman" w:hAnsi="Times New Roman" w:cs="Times New Roman"/>
          <w:sz w:val="24"/>
          <w:szCs w:val="24"/>
        </w:rPr>
      </w:pPr>
    </w:p>
    <w:p w:rsidR="006C7F22" w:rsidRDefault="006C7F22" w:rsidP="009C3837">
      <w:pPr>
        <w:spacing w:after="0" w:line="480" w:lineRule="auto"/>
        <w:rPr>
          <w:rFonts w:ascii="Times New Roman" w:hAnsi="Times New Roman" w:cs="Times New Roman"/>
          <w:sz w:val="24"/>
          <w:szCs w:val="24"/>
        </w:rPr>
      </w:pPr>
    </w:p>
    <w:p w:rsidR="006C7F22" w:rsidRPr="006C7F22" w:rsidRDefault="00F05EEE" w:rsidP="009C3837">
      <w:pPr>
        <w:pStyle w:val="NormalWeb"/>
        <w:spacing w:before="0" w:beforeAutospacing="0" w:after="0" w:afterAutospacing="0" w:line="480" w:lineRule="auto"/>
        <w:jc w:val="center"/>
        <w:rPr>
          <w:b/>
        </w:rPr>
      </w:pPr>
      <w:r w:rsidRPr="006C7F22">
        <w:rPr>
          <w:b/>
        </w:rPr>
        <w:lastRenderedPageBreak/>
        <w:t>References</w:t>
      </w:r>
    </w:p>
    <w:p w:rsidR="006C7F22" w:rsidRDefault="00F05EEE" w:rsidP="009C3837">
      <w:pPr>
        <w:pStyle w:val="NormalWeb"/>
        <w:spacing w:before="0" w:beforeAutospacing="0" w:after="0" w:afterAutospacing="0" w:line="480" w:lineRule="auto"/>
        <w:ind w:left="720" w:hanging="720"/>
      </w:pPr>
      <w:r>
        <w:t xml:space="preserve">Blanchard, B. (2018). Brahmin capitalism: Frontiers of wealth and populism in America’s first gilded age by Noam Maggor. </w:t>
      </w:r>
      <w:r>
        <w:rPr>
          <w:i/>
          <w:iCs/>
        </w:rPr>
        <w:t>Register of the Kentucky Historical Society</w:t>
      </w:r>
      <w:r>
        <w:t xml:space="preserve">, </w:t>
      </w:r>
      <w:r>
        <w:rPr>
          <w:i/>
          <w:iCs/>
        </w:rPr>
        <w:t>116</w:t>
      </w:r>
      <w:r>
        <w:t xml:space="preserve">(2), 268–270. </w:t>
      </w:r>
      <w:hyperlink r:id="rId7" w:history="1">
        <w:r w:rsidRPr="00EC6349">
          <w:rPr>
            <w:rStyle w:val="Hyperlink"/>
          </w:rPr>
          <w:t>https://doi.org/10.1353/khs.2018.0044</w:t>
        </w:r>
      </w:hyperlink>
      <w:r>
        <w:t xml:space="preserve"> </w:t>
      </w:r>
    </w:p>
    <w:p w:rsidR="006C7F22" w:rsidRDefault="00F05EEE" w:rsidP="009C3837">
      <w:pPr>
        <w:pStyle w:val="NormalWeb"/>
        <w:spacing w:before="0" w:beforeAutospacing="0" w:after="0" w:afterAutospacing="0" w:line="480" w:lineRule="auto"/>
        <w:ind w:left="720" w:hanging="720"/>
      </w:pPr>
      <w:r>
        <w:t xml:space="preserve">Greene, J. (2020). Bookends to a gentler capitalism: Complicating the notion of first and second gilded ages. </w:t>
      </w:r>
      <w:r>
        <w:rPr>
          <w:i/>
          <w:iCs/>
        </w:rPr>
        <w:t>The Journal of the Gilded Age and Progressive Era</w:t>
      </w:r>
      <w:r>
        <w:t xml:space="preserve">, </w:t>
      </w:r>
      <w:r>
        <w:rPr>
          <w:i/>
          <w:iCs/>
        </w:rPr>
        <w:t>19</w:t>
      </w:r>
      <w:r>
        <w:t xml:space="preserve">(2), 1–9. </w:t>
      </w:r>
      <w:hyperlink r:id="rId8" w:history="1">
        <w:r w:rsidRPr="00EC6349">
          <w:rPr>
            <w:rStyle w:val="Hyperlink"/>
          </w:rPr>
          <w:t>https://doi.org/10.1017/s1537781419000628</w:t>
        </w:r>
      </w:hyperlink>
      <w:r>
        <w:t xml:space="preserve"> </w:t>
      </w:r>
    </w:p>
    <w:p w:rsidR="006C7F22" w:rsidRDefault="00F05EEE" w:rsidP="009C3837">
      <w:pPr>
        <w:pStyle w:val="NormalWeb"/>
        <w:spacing w:before="0" w:beforeAutospacing="0" w:after="0" w:afterAutospacing="0" w:line="480" w:lineRule="auto"/>
        <w:ind w:left="720" w:hanging="720"/>
      </w:pPr>
      <w:r>
        <w:t xml:space="preserve">Shulman, P. A. (2020). Connection and disruption: American industrialization and the world, 1865–1917. </w:t>
      </w:r>
      <w:r>
        <w:rPr>
          <w:i/>
          <w:iCs/>
        </w:rPr>
        <w:t>A Companion to U.S. Foreign Relations</w:t>
      </w:r>
      <w:r>
        <w:t xml:space="preserve">, 252–270. </w:t>
      </w:r>
      <w:hyperlink r:id="rId9" w:history="1">
        <w:r w:rsidRPr="00EC6349">
          <w:rPr>
            <w:rStyle w:val="Hyperlink"/>
          </w:rPr>
          <w:t>https://doi.org/10.1002/9781119166139.ch12</w:t>
        </w:r>
      </w:hyperlink>
      <w:r>
        <w:t xml:space="preserve"> </w:t>
      </w:r>
    </w:p>
    <w:p w:rsidR="00211AC3" w:rsidRPr="000112E8" w:rsidRDefault="00F05EEE" w:rsidP="009C383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211AC3" w:rsidRPr="000112E8">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5EEE" w:rsidRDefault="00F05EEE">
      <w:pPr>
        <w:spacing w:after="0" w:line="240" w:lineRule="auto"/>
      </w:pPr>
      <w:r>
        <w:separator/>
      </w:r>
    </w:p>
  </w:endnote>
  <w:endnote w:type="continuationSeparator" w:id="0">
    <w:p w:rsidR="00F05EEE" w:rsidRDefault="00F05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272D" w:rsidRDefault="001B27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272D" w:rsidRDefault="001B27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272D" w:rsidRDefault="001B27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5EEE" w:rsidRDefault="00F05EEE">
      <w:pPr>
        <w:spacing w:after="0" w:line="240" w:lineRule="auto"/>
      </w:pPr>
      <w:r>
        <w:separator/>
      </w:r>
    </w:p>
  </w:footnote>
  <w:footnote w:type="continuationSeparator" w:id="0">
    <w:p w:rsidR="00F05EEE" w:rsidRDefault="00F05E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272D" w:rsidRDefault="001B27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135841803"/>
      <w:docPartObj>
        <w:docPartGallery w:val="Page Numbers (Top of Page)"/>
        <w:docPartUnique/>
      </w:docPartObj>
    </w:sdtPr>
    <w:sdtEndPr>
      <w:rPr>
        <w:noProof/>
      </w:rPr>
    </w:sdtEndPr>
    <w:sdtContent>
      <w:p w:rsidR="000112E8" w:rsidRPr="000112E8" w:rsidRDefault="00F05EEE" w:rsidP="000112E8">
        <w:pPr>
          <w:pStyle w:val="Header"/>
          <w:spacing w:line="480" w:lineRule="auto"/>
          <w:jc w:val="right"/>
          <w:rPr>
            <w:rFonts w:ascii="Times New Roman" w:hAnsi="Times New Roman" w:cs="Times New Roman"/>
            <w:sz w:val="24"/>
          </w:rPr>
        </w:pPr>
        <w:r w:rsidRPr="000112E8">
          <w:rPr>
            <w:rFonts w:ascii="Times New Roman" w:hAnsi="Times New Roman" w:cs="Times New Roman"/>
            <w:sz w:val="24"/>
          </w:rPr>
          <w:fldChar w:fldCharType="begin"/>
        </w:r>
        <w:r w:rsidRPr="000112E8">
          <w:rPr>
            <w:rFonts w:ascii="Times New Roman" w:hAnsi="Times New Roman" w:cs="Times New Roman"/>
            <w:sz w:val="24"/>
          </w:rPr>
          <w:instrText xml:space="preserve"> PAGE   \* MERGEFORMAT </w:instrText>
        </w:r>
        <w:r w:rsidRPr="000112E8">
          <w:rPr>
            <w:rFonts w:ascii="Times New Roman" w:hAnsi="Times New Roman" w:cs="Times New Roman"/>
            <w:sz w:val="24"/>
          </w:rPr>
          <w:fldChar w:fldCharType="separate"/>
        </w:r>
        <w:r w:rsidR="006F5106">
          <w:rPr>
            <w:rFonts w:ascii="Times New Roman" w:hAnsi="Times New Roman" w:cs="Times New Roman"/>
            <w:noProof/>
            <w:sz w:val="24"/>
          </w:rPr>
          <w:t>6</w:t>
        </w:r>
        <w:r w:rsidRPr="000112E8">
          <w:rPr>
            <w:rFonts w:ascii="Times New Roman" w:hAnsi="Times New Roman" w:cs="Times New Roman"/>
            <w:noProof/>
            <w:sz w:val="24"/>
          </w:rPr>
          <w:fldChar w:fldCharType="end"/>
        </w:r>
      </w:p>
    </w:sdtContent>
  </w:sdt>
  <w:p w:rsidR="000112E8" w:rsidRDefault="000112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272D" w:rsidRDefault="001B27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2E8"/>
    <w:rsid w:val="000112E8"/>
    <w:rsid w:val="00086CB0"/>
    <w:rsid w:val="000E6890"/>
    <w:rsid w:val="001216C3"/>
    <w:rsid w:val="001628F3"/>
    <w:rsid w:val="001A212D"/>
    <w:rsid w:val="001B272D"/>
    <w:rsid w:val="001E40E4"/>
    <w:rsid w:val="00211AC3"/>
    <w:rsid w:val="002A33B7"/>
    <w:rsid w:val="00393ACC"/>
    <w:rsid w:val="00587C60"/>
    <w:rsid w:val="005B393F"/>
    <w:rsid w:val="005E3C45"/>
    <w:rsid w:val="006C7F22"/>
    <w:rsid w:val="006F5106"/>
    <w:rsid w:val="008C5138"/>
    <w:rsid w:val="008C7294"/>
    <w:rsid w:val="008E53BC"/>
    <w:rsid w:val="008E76A4"/>
    <w:rsid w:val="00907582"/>
    <w:rsid w:val="009C3837"/>
    <w:rsid w:val="009F7269"/>
    <w:rsid w:val="00A64096"/>
    <w:rsid w:val="00A7657C"/>
    <w:rsid w:val="00B15F73"/>
    <w:rsid w:val="00CD76CD"/>
    <w:rsid w:val="00D22477"/>
    <w:rsid w:val="00D937D4"/>
    <w:rsid w:val="00DA5A84"/>
    <w:rsid w:val="00E00A25"/>
    <w:rsid w:val="00E73E9A"/>
    <w:rsid w:val="00EC6349"/>
    <w:rsid w:val="00F05EEE"/>
    <w:rsid w:val="00F160A5"/>
    <w:rsid w:val="00FA28D1"/>
    <w:rsid w:val="00FF7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CBF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12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2E8"/>
  </w:style>
  <w:style w:type="paragraph" w:styleId="Footer">
    <w:name w:val="footer"/>
    <w:basedOn w:val="Normal"/>
    <w:link w:val="FooterChar"/>
    <w:uiPriority w:val="99"/>
    <w:unhideWhenUsed/>
    <w:rsid w:val="000112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2E8"/>
  </w:style>
  <w:style w:type="paragraph" w:styleId="NormalWeb">
    <w:name w:val="Normal (Web)"/>
    <w:basedOn w:val="Normal"/>
    <w:uiPriority w:val="99"/>
    <w:semiHidden/>
    <w:unhideWhenUsed/>
    <w:rsid w:val="006C7F2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C7F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7/s1537781419000628"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doi.org/10.1353/khs.2018.0044"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02/9781119166139.ch12"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3E208-C788-4CC5-9486-4C420BD51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1172</Words>
  <Characters>6681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2021-10-16T21:24:00Z</dcterms:created>
  <dcterms:modified xsi:type="dcterms:W3CDTF">2021-10-16T21:24:00Z</dcterms:modified>
</cp:coreProperties>
</file>